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D31E" w14:textId="77777777" w:rsidR="00E91F00" w:rsidRPr="00E91F00" w:rsidRDefault="00E91F00" w:rsidP="00E91F00">
      <w:pPr>
        <w:shd w:val="clear" w:color="auto" w:fill="FFFFFF"/>
        <w:spacing w:after="240" w:line="495" w:lineRule="atLeast"/>
        <w:outlineLvl w:val="0"/>
        <w:rPr>
          <w:rFonts w:ascii="Arial" w:eastAsia="Times New Roman" w:hAnsi="Arial" w:cs="Arial"/>
          <w:b/>
          <w:bCs/>
          <w:color w:val="363636"/>
          <w:kern w:val="36"/>
          <w:sz w:val="39"/>
          <w:szCs w:val="39"/>
          <w:lang w:eastAsia="de-DE"/>
        </w:rPr>
      </w:pPr>
      <w:r w:rsidRPr="00E91F00">
        <w:rPr>
          <w:rFonts w:ascii="Arial" w:eastAsia="Times New Roman" w:hAnsi="Arial" w:cs="Arial"/>
          <w:b/>
          <w:bCs/>
          <w:color w:val="363636"/>
          <w:kern w:val="36"/>
          <w:sz w:val="39"/>
          <w:szCs w:val="39"/>
          <w:lang w:eastAsia="de-DE"/>
        </w:rPr>
        <w:t>Fiskalpolitik</w:t>
      </w:r>
    </w:p>
    <w:p w14:paraId="166AF686" w14:textId="4A746729" w:rsidR="00E91F00" w:rsidRPr="00E91F00" w:rsidRDefault="00E91F00" w:rsidP="00E91F00">
      <w:pPr>
        <w:spacing w:after="0" w:line="240" w:lineRule="auto"/>
        <w:rPr>
          <w:rFonts w:ascii="Times New Roman" w:eastAsia="Times New Roman" w:hAnsi="Times New Roman" w:cs="Times New Roman"/>
          <w:sz w:val="24"/>
          <w:szCs w:val="24"/>
          <w:lang w:eastAsia="de-DE"/>
        </w:rPr>
      </w:pPr>
      <w:r w:rsidRPr="00E91F00">
        <w:rPr>
          <w:rFonts w:ascii="Arial" w:eastAsia="Times New Roman" w:hAnsi="Arial" w:cs="Arial"/>
          <w:color w:val="363636"/>
          <w:sz w:val="24"/>
          <w:szCs w:val="24"/>
          <w:shd w:val="clear" w:color="auto" w:fill="FFFFFF"/>
          <w:lang w:eastAsia="de-DE"/>
        </w:rPr>
        <w:t>alle Maßnahmen des Staates, mit denen über die Veränderung der öffentlichen Einnahmen und öffentlichen Ausgaben die konjunkturelle Entwicklung gelenkt werden soll. Basierend auf den Annahmen von John Maynard Keynes (* 1883, † 1946) soll der Staat dabei vor allem die gesamtwirtschaftliche Nachfrage beeinflussen, um die Beschäftigung in der Volkswirtschaft zu verbessern. Die Staatsausgaben und Staatseinnahmen sollen antizyklisch, also entgegen dem Konjunkturverlauf, ausgerichtet werden. In einer Rezession muss der Staat folglich durch eine Erhöhung seiner Ausgaben über die Einnahmen die gesamtwirtschaftliche Nachfrage im Sinne einer </w:t>
      </w:r>
      <w:hyperlink r:id="rId5" w:history="1">
        <w:r w:rsidRPr="00E91F00">
          <w:rPr>
            <w:rFonts w:ascii="Arial" w:eastAsia="Times New Roman" w:hAnsi="Arial" w:cs="Arial"/>
            <w:color w:val="951632"/>
            <w:sz w:val="24"/>
            <w:szCs w:val="24"/>
            <w:u w:val="single"/>
            <w:shd w:val="clear" w:color="auto" w:fill="FFFFFF"/>
            <w:lang w:eastAsia="de-DE"/>
          </w:rPr>
          <w:t>Defizitfinanzierung (siehe dort)</w:t>
        </w:r>
      </w:hyperlink>
      <w:r w:rsidRPr="00E91F00">
        <w:rPr>
          <w:rFonts w:ascii="Arial" w:eastAsia="Times New Roman" w:hAnsi="Arial" w:cs="Arial"/>
          <w:color w:val="363636"/>
          <w:sz w:val="24"/>
          <w:szCs w:val="24"/>
          <w:shd w:val="clear" w:color="auto" w:fill="FFFFFF"/>
          <w:lang w:eastAsia="de-DE"/>
        </w:rPr>
        <w:t> beleben und im konjunkturellen Hoch seine Ausgaben verringern, seine Einnahmen z. B. durch Steuererhöhungen steigern und Rücklagen bilden, um die wirtschaftliche Entwicklung zu drosseln.</w:t>
      </w:r>
      <w:r w:rsidRPr="00E91F00">
        <w:rPr>
          <w:rFonts w:ascii="Arial" w:eastAsia="Times New Roman" w:hAnsi="Arial" w:cs="Arial"/>
          <w:color w:val="363636"/>
          <w:sz w:val="24"/>
          <w:szCs w:val="24"/>
          <w:lang w:eastAsia="de-DE"/>
        </w:rPr>
        <w:br/>
      </w:r>
      <w:r w:rsidRPr="00E91F00">
        <w:rPr>
          <w:rFonts w:ascii="Arial" w:eastAsia="Times New Roman" w:hAnsi="Arial" w:cs="Arial"/>
          <w:color w:val="363636"/>
          <w:sz w:val="24"/>
          <w:szCs w:val="24"/>
          <w:lang w:eastAsia="de-DE"/>
        </w:rPr>
        <w:br/>
      </w:r>
      <w:r w:rsidRPr="00E91F00">
        <w:rPr>
          <w:rFonts w:ascii="Arial" w:eastAsia="Times New Roman" w:hAnsi="Arial" w:cs="Arial"/>
          <w:color w:val="363636"/>
          <w:sz w:val="24"/>
          <w:szCs w:val="24"/>
          <w:shd w:val="clear" w:color="auto" w:fill="FFFFFF"/>
          <w:lang w:eastAsia="de-DE"/>
        </w:rPr>
        <w:t>Eine solche </w:t>
      </w:r>
      <w:hyperlink r:id="rId6" w:history="1">
        <w:r w:rsidRPr="00E91F00">
          <w:rPr>
            <w:rFonts w:ascii="Arial" w:eastAsia="Times New Roman" w:hAnsi="Arial" w:cs="Arial"/>
            <w:color w:val="951632"/>
            <w:sz w:val="24"/>
            <w:szCs w:val="24"/>
            <w:u w:val="single"/>
            <w:shd w:val="clear" w:color="auto" w:fill="FFFFFF"/>
            <w:lang w:eastAsia="de-DE"/>
          </w:rPr>
          <w:t>antizyklische Wirtschaftspolitik ,</w:t>
        </w:r>
      </w:hyperlink>
      <w:r w:rsidRPr="00E91F00">
        <w:rPr>
          <w:rFonts w:ascii="Arial" w:eastAsia="Times New Roman" w:hAnsi="Arial" w:cs="Arial"/>
          <w:color w:val="363636"/>
          <w:sz w:val="24"/>
          <w:szCs w:val="24"/>
          <w:shd w:val="clear" w:color="auto" w:fill="FFFFFF"/>
          <w:lang w:eastAsia="de-DE"/>
        </w:rPr>
        <w:t> die auch keynesianische Konjunkturpolitik genannt wird, wurde in der Bundesrepublik in den 1960er-Jahren und bis Mitte der 1970er-Jahre zunächst mit recht gutem Erfolg betrieben. Spätestens jedoch mit dem Auftreten der Stagflation (sinkendes Wachstum bei steigender Inflation) Mitte der 1970er-Jahre versagten die Rezepte der </w:t>
      </w:r>
      <w:hyperlink r:id="rId7" w:history="1">
        <w:r w:rsidRPr="00E91F00">
          <w:rPr>
            <w:rFonts w:ascii="Arial" w:eastAsia="Times New Roman" w:hAnsi="Arial" w:cs="Arial"/>
            <w:color w:val="951632"/>
            <w:sz w:val="24"/>
            <w:szCs w:val="24"/>
            <w:u w:val="single"/>
            <w:shd w:val="clear" w:color="auto" w:fill="FFFFFF"/>
            <w:lang w:eastAsia="de-DE"/>
          </w:rPr>
          <w:t>Globalsteuerung</w:t>
        </w:r>
      </w:hyperlink>
      <w:r>
        <w:rPr>
          <w:rFonts w:ascii="Times New Roman" w:eastAsia="Times New Roman" w:hAnsi="Times New Roman" w:cs="Times New Roman"/>
          <w:sz w:val="24"/>
          <w:szCs w:val="24"/>
          <w:lang w:eastAsia="de-DE"/>
        </w:rPr>
        <w:t>.</w:t>
      </w:r>
      <w:r w:rsidRPr="00E91F00">
        <w:rPr>
          <w:rFonts w:ascii="Arial" w:eastAsia="Times New Roman" w:hAnsi="Arial" w:cs="Arial"/>
          <w:color w:val="363636"/>
          <w:sz w:val="24"/>
          <w:szCs w:val="24"/>
          <w:shd w:val="clear" w:color="auto" w:fill="FFFFFF"/>
          <w:lang w:eastAsia="de-DE"/>
        </w:rPr>
        <w:t> Die konjunkturellen Ausschläge wurden verstärkt und die Verschuldung der öffentlichen Haushalte stieg stark an.</w:t>
      </w:r>
    </w:p>
    <w:p w14:paraId="2080373E" w14:textId="77777777" w:rsidR="00E91F00" w:rsidRPr="00E91F00" w:rsidRDefault="00E91F00" w:rsidP="00E91F00">
      <w:pPr>
        <w:spacing w:after="0" w:line="240" w:lineRule="auto"/>
        <w:rPr>
          <w:rFonts w:ascii="Times New Roman" w:eastAsia="Times New Roman" w:hAnsi="Times New Roman" w:cs="Times New Roman"/>
          <w:sz w:val="24"/>
          <w:szCs w:val="24"/>
          <w:lang w:eastAsia="de-DE"/>
        </w:rPr>
      </w:pPr>
    </w:p>
    <w:p w14:paraId="42A6B34B" w14:textId="71D400B7" w:rsidR="001B6E18" w:rsidRPr="00E91F00" w:rsidRDefault="00E91F00" w:rsidP="00E91F00">
      <w:pPr>
        <w:rPr>
          <w:sz w:val="16"/>
          <w:szCs w:val="16"/>
        </w:rPr>
      </w:pPr>
      <w:r w:rsidRPr="00E91F00">
        <w:rPr>
          <w:rFonts w:ascii="Arial" w:eastAsia="Times New Roman" w:hAnsi="Arial" w:cs="Arial"/>
          <w:color w:val="363636"/>
          <w:sz w:val="24"/>
          <w:szCs w:val="24"/>
          <w:lang w:eastAsia="de-DE"/>
        </w:rPr>
        <w:br/>
      </w:r>
      <w:r w:rsidRPr="00E91F00">
        <w:rPr>
          <w:rFonts w:ascii="Arial" w:eastAsia="Times New Roman" w:hAnsi="Arial" w:cs="Arial"/>
          <w:i/>
          <w:iCs/>
          <w:color w:val="363636"/>
          <w:sz w:val="16"/>
          <w:szCs w:val="16"/>
          <w:shd w:val="clear" w:color="auto" w:fill="FFFFFF"/>
          <w:lang w:eastAsia="de-DE"/>
        </w:rPr>
        <w:t>Duden Wirtschaft von A bis Z: Grundlagenwissen für Schule und Studium, Beruf und Alltag. 6. Aufl. Mannheim: Bibliographisches Institut 2016. Lizenzausgabe Bonn: Bundeszentrale für politische Bildung 2016.</w:t>
      </w:r>
    </w:p>
    <w:p w14:paraId="271D778E" w14:textId="3080572E" w:rsidR="00E91F00" w:rsidRDefault="00E91F00"/>
    <w:p w14:paraId="12285E41" w14:textId="77777777" w:rsidR="00E91F00" w:rsidRPr="00E91F00" w:rsidRDefault="00E91F00" w:rsidP="00E91F00">
      <w:pPr>
        <w:shd w:val="clear" w:color="auto" w:fill="FFFFFF"/>
        <w:spacing w:after="100" w:afterAutospacing="1" w:line="240" w:lineRule="auto"/>
        <w:outlineLvl w:val="0"/>
        <w:rPr>
          <w:rFonts w:ascii="Arial" w:eastAsia="Times New Roman" w:hAnsi="Arial" w:cs="Arial"/>
          <w:b/>
          <w:bCs/>
          <w:color w:val="292929"/>
          <w:kern w:val="36"/>
          <w:sz w:val="24"/>
          <w:szCs w:val="24"/>
          <w:lang w:eastAsia="de-DE"/>
        </w:rPr>
      </w:pPr>
      <w:r w:rsidRPr="00E91F00">
        <w:rPr>
          <w:rFonts w:ascii="Arial" w:eastAsia="Times New Roman" w:hAnsi="Arial" w:cs="Arial"/>
          <w:b/>
          <w:bCs/>
          <w:color w:val="292929"/>
          <w:kern w:val="36"/>
          <w:sz w:val="24"/>
          <w:szCs w:val="24"/>
          <w:lang w:eastAsia="de-DE"/>
        </w:rPr>
        <w:t>Finanz- und fiskalpolitische Instrumente</w:t>
      </w:r>
    </w:p>
    <w:p w14:paraId="491DB6E9" w14:textId="77777777" w:rsidR="00E91F00" w:rsidRPr="00E91F00" w:rsidRDefault="00E91F00" w:rsidP="00E91F00">
      <w:pPr>
        <w:shd w:val="clear" w:color="auto" w:fill="FFFFFF"/>
        <w:spacing w:after="100" w:afterAutospacing="1" w:line="240" w:lineRule="auto"/>
        <w:rPr>
          <w:rFonts w:ascii="Arial" w:eastAsia="Times New Roman" w:hAnsi="Arial" w:cs="Arial"/>
          <w:color w:val="292929"/>
          <w:sz w:val="24"/>
          <w:szCs w:val="24"/>
          <w:lang w:eastAsia="de-DE"/>
        </w:rPr>
      </w:pPr>
      <w:r w:rsidRPr="00E91F00">
        <w:rPr>
          <w:rFonts w:ascii="Arial" w:eastAsia="Times New Roman" w:hAnsi="Arial" w:cs="Arial"/>
          <w:color w:val="292929"/>
          <w:sz w:val="24"/>
          <w:szCs w:val="24"/>
          <w:lang w:eastAsia="de-DE"/>
        </w:rPr>
        <w:t>Die reine </w:t>
      </w:r>
      <w:hyperlink r:id="rId8" w:history="1">
        <w:r w:rsidRPr="00E91F00">
          <w:rPr>
            <w:rFonts w:ascii="Arial" w:eastAsia="Times New Roman" w:hAnsi="Arial" w:cs="Arial"/>
            <w:b/>
            <w:bCs/>
            <w:color w:val="66A96F"/>
            <w:sz w:val="24"/>
            <w:szCs w:val="24"/>
            <w:u w:val="single"/>
            <w:lang w:eastAsia="de-DE"/>
          </w:rPr>
          <w:t>Fiskalpolitik</w:t>
        </w:r>
      </w:hyperlink>
      <w:r w:rsidRPr="00E91F00">
        <w:rPr>
          <w:rFonts w:ascii="Arial" w:eastAsia="Times New Roman" w:hAnsi="Arial" w:cs="Arial"/>
          <w:color w:val="292929"/>
          <w:sz w:val="24"/>
          <w:szCs w:val="24"/>
          <w:lang w:eastAsia="de-DE"/>
        </w:rPr>
        <w:t> kennt zwei verschiedene Arten von Instrumenten. Die sogenannten </w:t>
      </w:r>
      <w:r w:rsidRPr="00E91F00">
        <w:rPr>
          <w:rFonts w:ascii="Arial" w:eastAsia="Times New Roman" w:hAnsi="Arial" w:cs="Arial"/>
          <w:b/>
          <w:bCs/>
          <w:color w:val="292929"/>
          <w:sz w:val="24"/>
          <w:szCs w:val="24"/>
          <w:lang w:eastAsia="de-DE"/>
        </w:rPr>
        <w:t>expansiven fiskalpolitischen Instrumente</w:t>
      </w:r>
      <w:r w:rsidRPr="00E91F00">
        <w:rPr>
          <w:rFonts w:ascii="Arial" w:eastAsia="Times New Roman" w:hAnsi="Arial" w:cs="Arial"/>
          <w:color w:val="292929"/>
          <w:sz w:val="24"/>
          <w:szCs w:val="24"/>
          <w:lang w:eastAsia="de-DE"/>
        </w:rPr>
        <w:t> werden eingesetzt, um die Nachfrage und damit das Wirtschaftswachstum zu steigern:</w:t>
      </w:r>
      <w:r w:rsidRPr="00E91F00">
        <w:rPr>
          <w:rFonts w:ascii="Arial" w:eastAsia="Times New Roman" w:hAnsi="Arial" w:cs="Arial"/>
          <w:color w:val="292929"/>
          <w:sz w:val="24"/>
          <w:szCs w:val="24"/>
          <w:lang w:eastAsia="de-DE"/>
        </w:rPr>
        <w:br/>
      </w:r>
    </w:p>
    <w:p w14:paraId="13FEE6E8" w14:textId="77777777" w:rsidR="00E91F00" w:rsidRPr="00E91F00" w:rsidRDefault="00E91F00" w:rsidP="00E91F00">
      <w:pPr>
        <w:numPr>
          <w:ilvl w:val="0"/>
          <w:numId w:val="1"/>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Bestimmte Steuern werden gesenkt.</w:t>
      </w:r>
    </w:p>
    <w:p w14:paraId="34ED1917" w14:textId="77777777" w:rsidR="00E91F00" w:rsidRPr="00E91F00" w:rsidRDefault="00E91F00" w:rsidP="00E91F00">
      <w:pPr>
        <w:numPr>
          <w:ilvl w:val="0"/>
          <w:numId w:val="1"/>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Es erfolgt ein Ausbau der Sozialleistungen.</w:t>
      </w:r>
    </w:p>
    <w:p w14:paraId="06E853C9" w14:textId="77777777" w:rsidR="00E91F00" w:rsidRPr="00E91F00" w:rsidRDefault="00E91F00" w:rsidP="00E91F00">
      <w:pPr>
        <w:numPr>
          <w:ilvl w:val="0"/>
          <w:numId w:val="1"/>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Beschäftigungsprogramme werden gefördert.</w:t>
      </w:r>
    </w:p>
    <w:p w14:paraId="19E303FD" w14:textId="77777777" w:rsidR="00E91F00" w:rsidRPr="00E91F00" w:rsidRDefault="00E91F00" w:rsidP="00E91F00">
      <w:pPr>
        <w:numPr>
          <w:ilvl w:val="0"/>
          <w:numId w:val="1"/>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Der Staat vergibt öffentliche Aufträge, beispielsweise beim Bau von Straßen.</w:t>
      </w:r>
    </w:p>
    <w:p w14:paraId="35A2B928" w14:textId="77777777" w:rsidR="00E91F00" w:rsidRPr="00E91F00" w:rsidRDefault="00E91F00" w:rsidP="00E91F00">
      <w:pPr>
        <w:shd w:val="clear" w:color="auto" w:fill="FFFFFF"/>
        <w:spacing w:after="100" w:afterAutospacing="1" w:line="240" w:lineRule="auto"/>
        <w:rPr>
          <w:rFonts w:ascii="Arial" w:eastAsia="Times New Roman" w:hAnsi="Arial" w:cs="Arial"/>
          <w:color w:val="292929"/>
          <w:sz w:val="24"/>
          <w:szCs w:val="24"/>
          <w:lang w:eastAsia="de-DE"/>
        </w:rPr>
      </w:pPr>
      <w:r w:rsidRPr="00E91F00">
        <w:rPr>
          <w:rFonts w:ascii="Arial" w:eastAsia="Times New Roman" w:hAnsi="Arial" w:cs="Arial"/>
          <w:color w:val="292929"/>
          <w:sz w:val="24"/>
          <w:szCs w:val="24"/>
          <w:lang w:eastAsia="de-DE"/>
        </w:rPr>
        <w:t>Ziel dieser </w:t>
      </w:r>
      <w:r w:rsidRPr="00E91F00">
        <w:rPr>
          <w:rFonts w:ascii="Arial" w:eastAsia="Times New Roman" w:hAnsi="Arial" w:cs="Arial"/>
          <w:b/>
          <w:bCs/>
          <w:color w:val="292929"/>
          <w:sz w:val="24"/>
          <w:szCs w:val="24"/>
          <w:lang w:eastAsia="de-DE"/>
        </w:rPr>
        <w:t>nachfrageorientierten Fiskalpolitik</w:t>
      </w:r>
      <w:r w:rsidRPr="00E91F00">
        <w:rPr>
          <w:rFonts w:ascii="Arial" w:eastAsia="Times New Roman" w:hAnsi="Arial" w:cs="Arial"/>
          <w:color w:val="292929"/>
          <w:sz w:val="24"/>
          <w:szCs w:val="24"/>
          <w:lang w:eastAsia="de-DE"/>
        </w:rPr>
        <w:t> ist es dabei, für eine Ankurbelung der Wirtschaft zu sorgen. Ist dies dann geschehen, tritt ein neues Problem auf: </w:t>
      </w:r>
      <w:hyperlink r:id="rId9" w:history="1">
        <w:r w:rsidRPr="00E91F00">
          <w:rPr>
            <w:rFonts w:ascii="Arial" w:eastAsia="Times New Roman" w:hAnsi="Arial" w:cs="Arial"/>
            <w:b/>
            <w:bCs/>
            <w:color w:val="66A96F"/>
            <w:sz w:val="24"/>
            <w:szCs w:val="24"/>
            <w:u w:val="single"/>
            <w:lang w:eastAsia="de-DE"/>
          </w:rPr>
          <w:t>Inflation</w:t>
        </w:r>
      </w:hyperlink>
      <w:r w:rsidRPr="00E91F00">
        <w:rPr>
          <w:rFonts w:ascii="Arial" w:eastAsia="Times New Roman" w:hAnsi="Arial" w:cs="Arial"/>
          <w:color w:val="292929"/>
          <w:sz w:val="24"/>
          <w:szCs w:val="24"/>
          <w:lang w:eastAsia="de-DE"/>
        </w:rPr>
        <w:t>. Um diese wiederum einzugrenzen und die während der Krise getätigten Ausgaben zu finanzieren, nutzt der Staat </w:t>
      </w:r>
      <w:r w:rsidRPr="00E91F00">
        <w:rPr>
          <w:rFonts w:ascii="Arial" w:eastAsia="Times New Roman" w:hAnsi="Arial" w:cs="Arial"/>
          <w:b/>
          <w:bCs/>
          <w:color w:val="292929"/>
          <w:sz w:val="24"/>
          <w:szCs w:val="24"/>
          <w:lang w:eastAsia="de-DE"/>
        </w:rPr>
        <w:t>restriktive fiskalpolitische Instrumente</w:t>
      </w:r>
      <w:r w:rsidRPr="00E91F00">
        <w:rPr>
          <w:rFonts w:ascii="Arial" w:eastAsia="Times New Roman" w:hAnsi="Arial" w:cs="Arial"/>
          <w:color w:val="292929"/>
          <w:sz w:val="24"/>
          <w:szCs w:val="24"/>
          <w:lang w:eastAsia="de-DE"/>
        </w:rPr>
        <w:t>:</w:t>
      </w:r>
      <w:r w:rsidRPr="00E91F00">
        <w:rPr>
          <w:rFonts w:ascii="Arial" w:eastAsia="Times New Roman" w:hAnsi="Arial" w:cs="Arial"/>
          <w:color w:val="292929"/>
          <w:sz w:val="24"/>
          <w:szCs w:val="24"/>
          <w:lang w:eastAsia="de-DE"/>
        </w:rPr>
        <w:br/>
      </w:r>
    </w:p>
    <w:p w14:paraId="3EA5FA90" w14:textId="77777777" w:rsidR="00E91F00" w:rsidRPr="00E91F00" w:rsidRDefault="00E91F00" w:rsidP="00E91F00">
      <w:pPr>
        <w:numPr>
          <w:ilvl w:val="0"/>
          <w:numId w:val="2"/>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Erhöhung von Einkommen- und Verbrauchsteuern</w:t>
      </w:r>
    </w:p>
    <w:p w14:paraId="008A47A6" w14:textId="77777777" w:rsidR="00E91F00" w:rsidRPr="00E91F00" w:rsidRDefault="00E91F00" w:rsidP="00E91F00">
      <w:pPr>
        <w:numPr>
          <w:ilvl w:val="0"/>
          <w:numId w:val="2"/>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Verringerung öffentlicher Aufträge</w:t>
      </w:r>
    </w:p>
    <w:p w14:paraId="53EB5CE8" w14:textId="77777777" w:rsidR="00E91F00" w:rsidRPr="00E91F00" w:rsidRDefault="00E91F00" w:rsidP="00E91F00">
      <w:pPr>
        <w:numPr>
          <w:ilvl w:val="0"/>
          <w:numId w:val="2"/>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Abbau von Sozialleistungen</w:t>
      </w:r>
    </w:p>
    <w:p w14:paraId="07581391" w14:textId="77777777" w:rsidR="00E91F00" w:rsidRPr="00E91F00" w:rsidRDefault="00E91F00" w:rsidP="00E91F00">
      <w:pPr>
        <w:numPr>
          <w:ilvl w:val="0"/>
          <w:numId w:val="2"/>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lastRenderedPageBreak/>
        <w:t>Abbau von Beschäftigungsprogrammen</w:t>
      </w:r>
    </w:p>
    <w:p w14:paraId="469D5C52" w14:textId="1DEBA31D" w:rsidR="00E91F00" w:rsidRPr="00E91F00" w:rsidRDefault="00E91F00">
      <w:pPr>
        <w:rPr>
          <w:rFonts w:ascii="Arial" w:hAnsi="Arial" w:cs="Arial"/>
          <w:sz w:val="24"/>
          <w:szCs w:val="24"/>
        </w:rPr>
      </w:pPr>
    </w:p>
    <w:p w14:paraId="07107C09" w14:textId="77777777" w:rsidR="00E91F00" w:rsidRPr="00E91F00" w:rsidRDefault="00E91F00" w:rsidP="00E91F00">
      <w:pPr>
        <w:shd w:val="clear" w:color="auto" w:fill="FFFFFF"/>
        <w:spacing w:before="100" w:beforeAutospacing="1" w:after="100" w:afterAutospacing="1" w:line="240" w:lineRule="auto"/>
        <w:outlineLvl w:val="1"/>
        <w:rPr>
          <w:rFonts w:ascii="Arial" w:eastAsia="Times New Roman" w:hAnsi="Arial" w:cs="Arial"/>
          <w:b/>
          <w:bCs/>
          <w:color w:val="292929"/>
          <w:sz w:val="24"/>
          <w:szCs w:val="24"/>
          <w:lang w:eastAsia="de-DE"/>
        </w:rPr>
      </w:pPr>
      <w:r w:rsidRPr="00E91F00">
        <w:rPr>
          <w:rFonts w:ascii="Arial" w:eastAsia="Times New Roman" w:hAnsi="Arial" w:cs="Arial"/>
          <w:b/>
          <w:bCs/>
          <w:color w:val="292929"/>
          <w:sz w:val="24"/>
          <w:szCs w:val="24"/>
          <w:lang w:eastAsia="de-DE"/>
        </w:rPr>
        <w:t>Effekt rein fiskalpolitischer Instrumente</w:t>
      </w:r>
    </w:p>
    <w:p w14:paraId="1E731680" w14:textId="77777777" w:rsidR="00E91F00" w:rsidRPr="00E91F00" w:rsidRDefault="00E91F00" w:rsidP="00E91F00">
      <w:pPr>
        <w:shd w:val="clear" w:color="auto" w:fill="FFFFFF"/>
        <w:spacing w:after="100" w:afterAutospacing="1" w:line="240" w:lineRule="auto"/>
        <w:rPr>
          <w:rFonts w:ascii="Arial" w:eastAsia="Times New Roman" w:hAnsi="Arial" w:cs="Arial"/>
          <w:color w:val="292929"/>
          <w:sz w:val="24"/>
          <w:szCs w:val="24"/>
          <w:lang w:eastAsia="de-DE"/>
        </w:rPr>
      </w:pPr>
      <w:r w:rsidRPr="00E91F00">
        <w:rPr>
          <w:rFonts w:ascii="Arial" w:eastAsia="Times New Roman" w:hAnsi="Arial" w:cs="Arial"/>
          <w:color w:val="292929"/>
          <w:sz w:val="24"/>
          <w:szCs w:val="24"/>
          <w:lang w:eastAsia="de-DE"/>
        </w:rPr>
        <w:t>Nach keynesianischer Auffassung, die auch heute noch in vielen Regierungen weit verbreitet ist, </w:t>
      </w:r>
      <w:r w:rsidRPr="00E91F00">
        <w:rPr>
          <w:rFonts w:ascii="Arial" w:eastAsia="Times New Roman" w:hAnsi="Arial" w:cs="Arial"/>
          <w:b/>
          <w:bCs/>
          <w:color w:val="292929"/>
          <w:sz w:val="24"/>
          <w:szCs w:val="24"/>
          <w:lang w:eastAsia="de-DE"/>
        </w:rPr>
        <w:t>bewirken kleine Änderungen der Staatsausgaben einen großen Effekt beim </w:t>
      </w:r>
      <w:hyperlink r:id="rId10" w:history="1">
        <w:r w:rsidRPr="00E91F00">
          <w:rPr>
            <w:rFonts w:ascii="Arial" w:eastAsia="Times New Roman" w:hAnsi="Arial" w:cs="Arial"/>
            <w:b/>
            <w:bCs/>
            <w:color w:val="66A96F"/>
            <w:sz w:val="24"/>
            <w:szCs w:val="24"/>
            <w:u w:val="single"/>
            <w:lang w:eastAsia="de-DE"/>
          </w:rPr>
          <w:t>Volkseinkommen</w:t>
        </w:r>
      </w:hyperlink>
      <w:r w:rsidRPr="00E91F00">
        <w:rPr>
          <w:rFonts w:ascii="Arial" w:eastAsia="Times New Roman" w:hAnsi="Arial" w:cs="Arial"/>
          <w:color w:val="292929"/>
          <w:sz w:val="24"/>
          <w:szCs w:val="24"/>
          <w:lang w:eastAsia="de-DE"/>
        </w:rPr>
        <w:t>. Volkswirte sprechen dann meist vom sogenannten </w:t>
      </w:r>
      <w:r w:rsidRPr="00E91F00">
        <w:rPr>
          <w:rFonts w:ascii="Arial" w:eastAsia="Times New Roman" w:hAnsi="Arial" w:cs="Arial"/>
          <w:b/>
          <w:bCs/>
          <w:color w:val="292929"/>
          <w:sz w:val="24"/>
          <w:szCs w:val="24"/>
          <w:lang w:eastAsia="de-DE"/>
        </w:rPr>
        <w:t>Multiplikatoreffekt</w:t>
      </w:r>
      <w:r w:rsidRPr="00E91F00">
        <w:rPr>
          <w:rFonts w:ascii="Arial" w:eastAsia="Times New Roman" w:hAnsi="Arial" w:cs="Arial"/>
          <w:color w:val="292929"/>
          <w:sz w:val="24"/>
          <w:szCs w:val="24"/>
          <w:lang w:eastAsia="de-DE"/>
        </w:rPr>
        <w:t>, der wiederum vom </w:t>
      </w:r>
      <w:proofErr w:type="spellStart"/>
      <w:r w:rsidRPr="00E91F00">
        <w:rPr>
          <w:rFonts w:ascii="Arial" w:eastAsia="Times New Roman" w:hAnsi="Arial" w:cs="Arial"/>
          <w:b/>
          <w:bCs/>
          <w:color w:val="292929"/>
          <w:sz w:val="24"/>
          <w:szCs w:val="24"/>
          <w:lang w:eastAsia="de-DE"/>
        </w:rPr>
        <w:t>Akzeleratoreffekt</w:t>
      </w:r>
      <w:proofErr w:type="spellEnd"/>
      <w:r w:rsidRPr="00E91F00">
        <w:rPr>
          <w:rFonts w:ascii="Arial" w:eastAsia="Times New Roman" w:hAnsi="Arial" w:cs="Arial"/>
          <w:color w:val="292929"/>
          <w:sz w:val="24"/>
          <w:szCs w:val="24"/>
          <w:lang w:eastAsia="de-DE"/>
        </w:rPr>
        <w:t> zu unterscheiden ist:</w:t>
      </w:r>
      <w:r w:rsidRPr="00E91F00">
        <w:rPr>
          <w:rFonts w:ascii="Arial" w:eastAsia="Times New Roman" w:hAnsi="Arial" w:cs="Arial"/>
          <w:color w:val="292929"/>
          <w:sz w:val="24"/>
          <w:szCs w:val="24"/>
          <w:lang w:eastAsia="de-DE"/>
        </w:rPr>
        <w:br/>
      </w:r>
    </w:p>
    <w:p w14:paraId="4032ECF0" w14:textId="77777777" w:rsidR="00E91F00" w:rsidRPr="00E91F00" w:rsidRDefault="00E91F00" w:rsidP="00E91F00">
      <w:pPr>
        <w:numPr>
          <w:ilvl w:val="0"/>
          <w:numId w:val="3"/>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r w:rsidRPr="00E91F00">
        <w:rPr>
          <w:rFonts w:ascii="Arial" w:eastAsia="Times New Roman" w:hAnsi="Arial" w:cs="Arial"/>
          <w:color w:val="35583A"/>
          <w:sz w:val="24"/>
          <w:szCs w:val="24"/>
          <w:lang w:eastAsia="de-DE"/>
        </w:rPr>
        <w:t>Multiplikatoreffekt: Fiskalpolitische Instrumente – insbesondere direkte Ausgaben – erhöhen das Volkseinkommen, weil eben diese Zahlungen an private Haushalte oder Unternehmen fließen. Hierdurch wird jetzt eine zusätzliche Nachfrage ausgelöst, die oft höher ist als die eigentlichen Staatsausgaben.</w:t>
      </w:r>
    </w:p>
    <w:p w14:paraId="7CB8951E" w14:textId="77777777" w:rsidR="00E91F00" w:rsidRPr="00E91F00" w:rsidRDefault="00E91F00" w:rsidP="00E91F00">
      <w:pPr>
        <w:numPr>
          <w:ilvl w:val="0"/>
          <w:numId w:val="3"/>
        </w:numPr>
        <w:pBdr>
          <w:top w:val="single" w:sz="6" w:space="0" w:color="D4E7D7"/>
          <w:left w:val="single" w:sz="6" w:space="0" w:color="D4E7D7"/>
          <w:bottom w:val="single" w:sz="6" w:space="0" w:color="D4E7D7"/>
          <w:right w:val="single" w:sz="6" w:space="0" w:color="D4E7D7"/>
        </w:pBdr>
        <w:shd w:val="clear" w:color="auto" w:fill="E0EEE2"/>
        <w:spacing w:before="100" w:beforeAutospacing="1" w:after="100" w:afterAutospacing="1" w:line="240" w:lineRule="auto"/>
        <w:rPr>
          <w:rFonts w:ascii="Arial" w:eastAsia="Times New Roman" w:hAnsi="Arial" w:cs="Arial"/>
          <w:color w:val="35583A"/>
          <w:sz w:val="24"/>
          <w:szCs w:val="24"/>
          <w:lang w:eastAsia="de-DE"/>
        </w:rPr>
      </w:pPr>
      <w:proofErr w:type="spellStart"/>
      <w:r w:rsidRPr="00E91F00">
        <w:rPr>
          <w:rFonts w:ascii="Arial" w:eastAsia="Times New Roman" w:hAnsi="Arial" w:cs="Arial"/>
          <w:color w:val="35583A"/>
          <w:sz w:val="24"/>
          <w:szCs w:val="24"/>
          <w:lang w:eastAsia="de-DE"/>
        </w:rPr>
        <w:t>Akzeleratoreffekt</w:t>
      </w:r>
      <w:proofErr w:type="spellEnd"/>
      <w:r w:rsidRPr="00E91F00">
        <w:rPr>
          <w:rFonts w:ascii="Arial" w:eastAsia="Times New Roman" w:hAnsi="Arial" w:cs="Arial"/>
          <w:color w:val="35583A"/>
          <w:sz w:val="24"/>
          <w:szCs w:val="24"/>
          <w:lang w:eastAsia="de-DE"/>
        </w:rPr>
        <w:t>: Diese höhere Nachfrage des Multiplikatoreffekts führt jetzt dazu, dass Unternehmen am Rande der Kapazitätsgrenzen arbeiten und diese erweitern müssen. Hierzu werden wiederum Investitionen getätigt, wovon andere Unternehmen profitieren und neue Mitarbeiter einstellen. Weil diese neuen Mitarbeiter jetzt über mehr Einkommen verfügen, konsumieren sie auch mehr Güter.</w:t>
      </w:r>
    </w:p>
    <w:p w14:paraId="73DD4388" w14:textId="3233F822" w:rsidR="00E91F00" w:rsidRPr="00E91F00" w:rsidRDefault="00E91F00">
      <w:pPr>
        <w:rPr>
          <w:rFonts w:ascii="Arial" w:hAnsi="Arial" w:cs="Arial"/>
          <w:sz w:val="24"/>
          <w:szCs w:val="24"/>
        </w:rPr>
      </w:pPr>
      <w:r w:rsidRPr="00E91F00">
        <w:rPr>
          <w:rFonts w:ascii="Arial" w:hAnsi="Arial" w:cs="Arial"/>
          <w:color w:val="292929"/>
          <w:sz w:val="24"/>
          <w:szCs w:val="24"/>
          <w:shd w:val="clear" w:color="auto" w:fill="FFFFFF"/>
        </w:rPr>
        <w:t>In der Praxis ist dieser Effekt nur schwer zu messen und </w:t>
      </w:r>
      <w:r w:rsidRPr="00E91F00">
        <w:rPr>
          <w:rStyle w:val="Fett"/>
          <w:rFonts w:ascii="Arial" w:hAnsi="Arial" w:cs="Arial"/>
          <w:color w:val="292929"/>
          <w:sz w:val="24"/>
          <w:szCs w:val="24"/>
          <w:shd w:val="clear" w:color="auto" w:fill="FFFFFF"/>
        </w:rPr>
        <w:t>unter Ökonomen höchst umstritten</w:t>
      </w:r>
      <w:r w:rsidRPr="00E91F00">
        <w:rPr>
          <w:rFonts w:ascii="Arial" w:hAnsi="Arial" w:cs="Arial"/>
          <w:color w:val="292929"/>
          <w:sz w:val="24"/>
          <w:szCs w:val="24"/>
          <w:shd w:val="clear" w:color="auto" w:fill="FFFFFF"/>
        </w:rPr>
        <w:t>. Fakt ist aber, dass Regierungen in Krisenzeiten tatsächlich fiskalpolitische Instrumente einsetzten, um eben diese Krisen abzuwenden. Ein bekanntes Beispiel hierfür ist das </w:t>
      </w:r>
      <w:r w:rsidRPr="00E91F00">
        <w:rPr>
          <w:rStyle w:val="Fett"/>
          <w:rFonts w:ascii="Arial" w:hAnsi="Arial" w:cs="Arial"/>
          <w:color w:val="292929"/>
          <w:sz w:val="24"/>
          <w:szCs w:val="24"/>
          <w:shd w:val="clear" w:color="auto" w:fill="FFFFFF"/>
        </w:rPr>
        <w:t>Konjunkturpaket II,</w:t>
      </w:r>
      <w:r w:rsidRPr="00E91F00">
        <w:rPr>
          <w:rFonts w:ascii="Arial" w:hAnsi="Arial" w:cs="Arial"/>
          <w:color w:val="292929"/>
          <w:sz w:val="24"/>
          <w:szCs w:val="24"/>
          <w:shd w:val="clear" w:color="auto" w:fill="FFFFFF"/>
        </w:rPr>
        <w:t> das von der Bundesregierung nach der Finanzkrise 2008 verabschiedet worden ist.</w:t>
      </w:r>
    </w:p>
    <w:p w14:paraId="3B31468A" w14:textId="660FF402" w:rsidR="00E91F00" w:rsidRDefault="00E91F00">
      <w:hyperlink r:id="rId11" w:history="1">
        <w:r w:rsidRPr="002C4BAE">
          <w:rPr>
            <w:rStyle w:val="Hyperlink"/>
          </w:rPr>
          <w:t>www.rechnungswesen-verstehen.de</w:t>
        </w:r>
      </w:hyperlink>
      <w:r>
        <w:t xml:space="preserve"> (Zugriff 10.03.2021 / 22:15 Uhr)</w:t>
      </w:r>
    </w:p>
    <w:p w14:paraId="3EC73B4E" w14:textId="60126271" w:rsidR="00E91F00" w:rsidRPr="00E91F00" w:rsidRDefault="00E91F00">
      <w:pPr>
        <w:rPr>
          <w:b/>
          <w:bCs/>
        </w:rPr>
      </w:pPr>
      <w:r w:rsidRPr="00E91F00">
        <w:rPr>
          <w:b/>
          <w:bCs/>
        </w:rPr>
        <w:t xml:space="preserve">weitere ABITUR-Quelle:  </w:t>
      </w:r>
      <w:r w:rsidRPr="00E91F00">
        <w:rPr>
          <w:b/>
          <w:bCs/>
        </w:rPr>
        <w:t>https://www.abipur.de/referate/stat/676992775.html</w:t>
      </w:r>
    </w:p>
    <w:p w14:paraId="7BDDD761" w14:textId="089CADBC" w:rsidR="00E91F00" w:rsidRDefault="00E91F00"/>
    <w:p w14:paraId="7DC1C4C2" w14:textId="16178D8C" w:rsidR="00E91F00" w:rsidRDefault="00E91F00"/>
    <w:p w14:paraId="3E14FCFE" w14:textId="52593C7B" w:rsidR="00E91F00" w:rsidRDefault="00E91F00"/>
    <w:p w14:paraId="593AA2B5" w14:textId="77777777" w:rsidR="00E91F00" w:rsidRDefault="00E91F00"/>
    <w:p w14:paraId="5BA4FBDC" w14:textId="635F010F" w:rsidR="00E91F00" w:rsidRDefault="00E91F00"/>
    <w:p w14:paraId="4EB889FE" w14:textId="1892C48B" w:rsidR="00E91F00" w:rsidRDefault="00E91F00"/>
    <w:p w14:paraId="518AD838" w14:textId="5695C05F" w:rsidR="00E91F00" w:rsidRDefault="00E91F00"/>
    <w:p w14:paraId="4A01E928" w14:textId="465A8BE8" w:rsidR="00E91F00" w:rsidRDefault="00E91F00"/>
    <w:p w14:paraId="1AB61E19" w14:textId="57AD5E40" w:rsidR="00E91F00" w:rsidRDefault="00E91F00"/>
    <w:p w14:paraId="26B315D7" w14:textId="1CAD34D9" w:rsidR="00E91F00" w:rsidRPr="00E91F00" w:rsidRDefault="00E91F00" w:rsidP="00E91F00">
      <w:pPr>
        <w:shd w:val="clear" w:color="auto" w:fill="FFFFFF"/>
        <w:spacing w:after="240" w:line="495" w:lineRule="atLeast"/>
        <w:outlineLvl w:val="0"/>
        <w:rPr>
          <w:rFonts w:ascii="Arial" w:eastAsia="Times New Roman" w:hAnsi="Arial" w:cs="Arial"/>
          <w:b/>
          <w:bCs/>
          <w:color w:val="363636"/>
          <w:kern w:val="36"/>
          <w:sz w:val="39"/>
          <w:szCs w:val="39"/>
          <w:lang w:eastAsia="de-DE"/>
        </w:rPr>
      </w:pPr>
      <w:r w:rsidRPr="00E91F00">
        <w:rPr>
          <w:rFonts w:ascii="Arial" w:eastAsia="Times New Roman" w:hAnsi="Arial" w:cs="Arial"/>
          <w:b/>
          <w:bCs/>
          <w:color w:val="363636"/>
          <w:kern w:val="36"/>
          <w:sz w:val="39"/>
          <w:szCs w:val="39"/>
          <w:lang w:eastAsia="de-DE"/>
        </w:rPr>
        <w:lastRenderedPageBreak/>
        <w:t>Konjunkturpaket</w:t>
      </w:r>
    </w:p>
    <w:p w14:paraId="3F59992B" w14:textId="4641DCB2" w:rsidR="00E91F00" w:rsidRPr="00E91F00" w:rsidRDefault="00E91F00" w:rsidP="00E91F00">
      <w:pPr>
        <w:shd w:val="clear" w:color="auto" w:fill="FFFFFF"/>
        <w:spacing w:after="150" w:line="390" w:lineRule="atLeast"/>
        <w:outlineLvl w:val="1"/>
        <w:rPr>
          <w:rFonts w:ascii="Arial" w:eastAsia="Times New Roman" w:hAnsi="Arial" w:cs="Arial"/>
          <w:b/>
          <w:bCs/>
          <w:color w:val="363636"/>
          <w:sz w:val="30"/>
          <w:szCs w:val="30"/>
          <w:lang w:eastAsia="de-DE"/>
        </w:rPr>
      </w:pPr>
      <w:r w:rsidRPr="00E91F00">
        <w:rPr>
          <w:rFonts w:ascii="Arial" w:eastAsia="Times New Roman" w:hAnsi="Arial" w:cs="Arial"/>
          <w:b/>
          <w:bCs/>
          <w:color w:val="363636"/>
          <w:sz w:val="30"/>
          <w:szCs w:val="30"/>
          <w:lang w:eastAsia="de-DE"/>
        </w:rPr>
        <w:t>Konjunkturpaket I, Konjunkturpaket II</w:t>
      </w:r>
    </w:p>
    <w:p w14:paraId="6B55EC12" w14:textId="54B0E990" w:rsidR="00E91F00" w:rsidRPr="00E91F00" w:rsidRDefault="00E91F00" w:rsidP="00E91F00">
      <w:pPr>
        <w:spacing w:after="0" w:line="240" w:lineRule="auto"/>
        <w:rPr>
          <w:rFonts w:ascii="Times New Roman" w:eastAsia="Times New Roman" w:hAnsi="Times New Roman" w:cs="Times New Roman"/>
          <w:sz w:val="24"/>
          <w:szCs w:val="24"/>
          <w:lang w:eastAsia="de-DE"/>
        </w:rPr>
      </w:pPr>
      <w:r>
        <w:rPr>
          <w:noProof/>
        </w:rPr>
        <w:drawing>
          <wp:anchor distT="0" distB="0" distL="114300" distR="114300" simplePos="0" relativeHeight="251658240" behindDoc="0" locked="0" layoutInCell="1" allowOverlap="1" wp14:anchorId="79F2D5F5" wp14:editId="66D75940">
            <wp:simplePos x="0" y="0"/>
            <wp:positionH relativeFrom="column">
              <wp:posOffset>2849245</wp:posOffset>
            </wp:positionH>
            <wp:positionV relativeFrom="paragraph">
              <wp:posOffset>1666240</wp:posOffset>
            </wp:positionV>
            <wp:extent cx="2903220" cy="4610100"/>
            <wp:effectExtent l="0" t="0" r="0" b="0"/>
            <wp:wrapSquare wrapText="bothSides"/>
            <wp:docPr id="4" name="Bild 4" descr="Debatte über Konjunkturprogramm: „Die Krise wird uns viel abverlangen“ -  Inland - 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atte über Konjunkturprogramm: „Die Krise wird uns viel abverlangen“ -  Inland - FA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220" cy="461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F00">
        <w:rPr>
          <w:rFonts w:ascii="Arial" w:eastAsia="Times New Roman" w:hAnsi="Arial" w:cs="Arial"/>
          <w:color w:val="363636"/>
          <w:sz w:val="24"/>
          <w:szCs w:val="24"/>
          <w:shd w:val="clear" w:color="auto" w:fill="FFFFFF"/>
          <w:lang w:eastAsia="de-DE"/>
        </w:rPr>
        <w:t>Kurzbezeichnung für zwei Konjunkturprogramme der Bundesregierung. Das </w:t>
      </w:r>
      <w:r w:rsidRPr="00E91F00">
        <w:rPr>
          <w:rFonts w:ascii="Arial" w:eastAsia="Times New Roman" w:hAnsi="Arial" w:cs="Arial"/>
          <w:b/>
          <w:bCs/>
          <w:i/>
          <w:iCs/>
          <w:color w:val="363636"/>
          <w:sz w:val="24"/>
          <w:szCs w:val="24"/>
          <w:shd w:val="clear" w:color="auto" w:fill="FFFFFF"/>
          <w:lang w:eastAsia="de-DE"/>
        </w:rPr>
        <w:t>Konjunkturpaket I</w:t>
      </w:r>
      <w:r w:rsidRPr="00E91F00">
        <w:rPr>
          <w:rFonts w:ascii="Arial" w:eastAsia="Times New Roman" w:hAnsi="Arial" w:cs="Arial"/>
          <w:color w:val="363636"/>
          <w:sz w:val="24"/>
          <w:szCs w:val="24"/>
          <w:shd w:val="clear" w:color="auto" w:fill="FFFFFF"/>
          <w:lang w:eastAsia="de-DE"/>
        </w:rPr>
        <w:t> »Beschäftigungssicherung durch Wachstumsstärkung« vom 5. 11. 2008 sollte die als Folge der </w:t>
      </w:r>
      <w:hyperlink r:id="rId13" w:history="1">
        <w:r w:rsidRPr="00E91F00">
          <w:rPr>
            <w:rFonts w:ascii="Arial" w:eastAsia="Times New Roman" w:hAnsi="Arial" w:cs="Arial"/>
            <w:color w:val="951632"/>
            <w:sz w:val="24"/>
            <w:szCs w:val="24"/>
            <w:u w:val="single"/>
            <w:shd w:val="clear" w:color="auto" w:fill="FFFFFF"/>
            <w:lang w:eastAsia="de-DE"/>
          </w:rPr>
          <w:t>Finanzmarktkrise</w:t>
        </w:r>
      </w:hyperlink>
      <w:r w:rsidRPr="00E91F00">
        <w:rPr>
          <w:rFonts w:ascii="Arial" w:eastAsia="Times New Roman" w:hAnsi="Arial" w:cs="Arial"/>
          <w:color w:val="363636"/>
          <w:sz w:val="24"/>
          <w:szCs w:val="24"/>
          <w:shd w:val="clear" w:color="auto" w:fill="FFFFFF"/>
          <w:lang w:eastAsia="de-DE"/>
        </w:rPr>
        <w:t> ausgelöste konjunkturelle Abschwächung im Jahr 2008 verringern. Zu dem Maßnahmenpaket zählten u. a. verbesserte Abschreibungsmöglichkeiten für Unternehmen, Erhöhungen der Finanzmittel des Gebäudesanierungsprogramms, ein Investitionsprogramm Verkehr, Verlängerung der Bezugsdauer von Kurzarbeitergeld, Ausbau des Sonderprogramms für ältere und geringqualifizierte Arbeitnehmer.</w:t>
      </w:r>
      <w:r w:rsidRPr="00E91F00">
        <w:rPr>
          <w:rFonts w:ascii="Arial" w:eastAsia="Times New Roman" w:hAnsi="Arial" w:cs="Arial"/>
          <w:color w:val="363636"/>
          <w:sz w:val="24"/>
          <w:szCs w:val="24"/>
          <w:lang w:eastAsia="de-DE"/>
        </w:rPr>
        <w:br/>
      </w:r>
      <w:r w:rsidRPr="00E91F00">
        <w:rPr>
          <w:rFonts w:ascii="Arial" w:eastAsia="Times New Roman" w:hAnsi="Arial" w:cs="Arial"/>
          <w:color w:val="363636"/>
          <w:sz w:val="24"/>
          <w:szCs w:val="24"/>
          <w:lang w:eastAsia="de-DE"/>
        </w:rPr>
        <w:br/>
      </w:r>
      <w:r w:rsidRPr="00E91F00">
        <w:rPr>
          <w:rFonts w:ascii="Arial" w:eastAsia="Times New Roman" w:hAnsi="Arial" w:cs="Arial"/>
          <w:color w:val="363636"/>
          <w:sz w:val="24"/>
          <w:szCs w:val="24"/>
          <w:shd w:val="clear" w:color="auto" w:fill="FFFFFF"/>
          <w:lang w:eastAsia="de-DE"/>
        </w:rPr>
        <w:t>Das </w:t>
      </w:r>
      <w:r w:rsidRPr="00E91F00">
        <w:rPr>
          <w:rFonts w:ascii="Arial" w:eastAsia="Times New Roman" w:hAnsi="Arial" w:cs="Arial"/>
          <w:b/>
          <w:bCs/>
          <w:i/>
          <w:iCs/>
          <w:color w:val="363636"/>
          <w:sz w:val="24"/>
          <w:szCs w:val="24"/>
          <w:shd w:val="clear" w:color="auto" w:fill="FFFFFF"/>
          <w:lang w:eastAsia="de-DE"/>
        </w:rPr>
        <w:t>Konjunkturpaket II</w:t>
      </w:r>
      <w:r w:rsidRPr="00E91F00">
        <w:rPr>
          <w:rFonts w:ascii="Arial" w:eastAsia="Times New Roman" w:hAnsi="Arial" w:cs="Arial"/>
          <w:color w:val="363636"/>
          <w:sz w:val="24"/>
          <w:szCs w:val="24"/>
          <w:shd w:val="clear" w:color="auto" w:fill="FFFFFF"/>
          <w:lang w:eastAsia="de-DE"/>
        </w:rPr>
        <w:t xml:space="preserve"> »Entschlossen in der Krise, stark für den nächsten Aufschwung« vom 12. 1. 2009 sollte die sich abzeichnende Rezession im Jahr 2009 abmildern. Wichtige Maßnahmen waren u. a. ein Programm für öffentliche Investitionen in Bildung, Infrastruktur und Informationstechnologie von insgesamt 14 Mrd. €, ein Kredit- und Bürgschaftsprogramm der KfW Bankengruppe für eine bessere Kreditversorgung von Unternehmen im Umfang von 100 Mrd. €, die Erhöhung der Mittel für Qualifizierungsmaßnahmen der Bundesagentur für Arbeit, die Senkung der Beitragsätze zur Arbeitslosenversicherung von 3,2 auf 2,8 % und zur Krankenversicherung von 15,5 auf 14,9 %, die Verringerung des </w:t>
      </w:r>
      <w:proofErr w:type="spellStart"/>
      <w:r w:rsidRPr="00E91F00">
        <w:rPr>
          <w:rFonts w:ascii="Arial" w:eastAsia="Times New Roman" w:hAnsi="Arial" w:cs="Arial"/>
          <w:color w:val="363636"/>
          <w:sz w:val="24"/>
          <w:szCs w:val="24"/>
          <w:shd w:val="clear" w:color="auto" w:fill="FFFFFF"/>
          <w:lang w:eastAsia="de-DE"/>
        </w:rPr>
        <w:t>Eingangsteuersatzes</w:t>
      </w:r>
      <w:proofErr w:type="spellEnd"/>
      <w:r w:rsidRPr="00E91F00">
        <w:rPr>
          <w:rFonts w:ascii="Arial" w:eastAsia="Times New Roman" w:hAnsi="Arial" w:cs="Arial"/>
          <w:color w:val="363636"/>
          <w:sz w:val="24"/>
          <w:szCs w:val="24"/>
          <w:shd w:val="clear" w:color="auto" w:fill="FFFFFF"/>
          <w:lang w:eastAsia="de-DE"/>
        </w:rPr>
        <w:t xml:space="preserve"> und Erhöhung des Grundfreibetrags beim </w:t>
      </w:r>
      <w:hyperlink r:id="rId14" w:history="1">
        <w:r w:rsidRPr="00E91F00">
          <w:rPr>
            <w:rFonts w:ascii="Arial" w:eastAsia="Times New Roman" w:hAnsi="Arial" w:cs="Arial"/>
            <w:color w:val="951632"/>
            <w:sz w:val="24"/>
            <w:szCs w:val="24"/>
            <w:u w:val="single"/>
            <w:shd w:val="clear" w:color="auto" w:fill="FFFFFF"/>
            <w:lang w:eastAsia="de-DE"/>
          </w:rPr>
          <w:t>Einkommensteuertarif</w:t>
        </w:r>
      </w:hyperlink>
      <w:r w:rsidRPr="00E91F00">
        <w:rPr>
          <w:rFonts w:ascii="Arial" w:eastAsia="Times New Roman" w:hAnsi="Arial" w:cs="Arial"/>
          <w:color w:val="363636"/>
          <w:sz w:val="24"/>
          <w:szCs w:val="24"/>
          <w:shd w:val="clear" w:color="auto" w:fill="FFFFFF"/>
          <w:lang w:eastAsia="de-DE"/>
        </w:rPr>
        <w:t> sowie die Reform der </w:t>
      </w:r>
      <w:hyperlink r:id="rId15" w:history="1">
        <w:r w:rsidRPr="00E91F00">
          <w:rPr>
            <w:rFonts w:ascii="Arial" w:eastAsia="Times New Roman" w:hAnsi="Arial" w:cs="Arial"/>
            <w:color w:val="951632"/>
            <w:sz w:val="24"/>
            <w:szCs w:val="24"/>
            <w:u w:val="single"/>
            <w:shd w:val="clear" w:color="auto" w:fill="FFFFFF"/>
            <w:lang w:eastAsia="de-DE"/>
          </w:rPr>
          <w:t>Kraftfahrzeugsteuer</w:t>
        </w:r>
      </w:hyperlink>
      <w:r w:rsidRPr="00E91F00">
        <w:rPr>
          <w:rFonts w:ascii="Arial" w:eastAsia="Times New Roman" w:hAnsi="Arial" w:cs="Arial"/>
          <w:color w:val="363636"/>
          <w:sz w:val="24"/>
          <w:szCs w:val="24"/>
          <w:shd w:val="clear" w:color="auto" w:fill="FFFFFF"/>
          <w:lang w:eastAsia="de-DE"/>
        </w:rPr>
        <w:t> und die befristete Einführung einer </w:t>
      </w:r>
      <w:hyperlink r:id="rId16" w:history="1">
        <w:r w:rsidRPr="00E91F00">
          <w:rPr>
            <w:rFonts w:ascii="Arial" w:eastAsia="Times New Roman" w:hAnsi="Arial" w:cs="Arial"/>
            <w:color w:val="951632"/>
            <w:sz w:val="24"/>
            <w:szCs w:val="24"/>
            <w:u w:val="single"/>
            <w:shd w:val="clear" w:color="auto" w:fill="FFFFFF"/>
            <w:lang w:eastAsia="de-DE"/>
          </w:rPr>
          <w:t>Umweltprämie (siehe dort)</w:t>
        </w:r>
      </w:hyperlink>
      <w:r w:rsidRPr="00E91F00">
        <w:rPr>
          <w:rFonts w:ascii="Arial" w:eastAsia="Times New Roman" w:hAnsi="Arial" w:cs="Arial"/>
          <w:color w:val="363636"/>
          <w:sz w:val="24"/>
          <w:szCs w:val="24"/>
          <w:shd w:val="clear" w:color="auto" w:fill="FFFFFF"/>
          <w:lang w:eastAsia="de-DE"/>
        </w:rPr>
        <w:t> für Pkw-Käufe.</w:t>
      </w:r>
    </w:p>
    <w:p w14:paraId="5A4E6C7E" w14:textId="77777777" w:rsidR="00E91F00" w:rsidRPr="00E91F00" w:rsidRDefault="00E91F00" w:rsidP="00E91F00">
      <w:pPr>
        <w:spacing w:after="0" w:line="240" w:lineRule="auto"/>
        <w:rPr>
          <w:rFonts w:ascii="Times New Roman" w:eastAsia="Times New Roman" w:hAnsi="Times New Roman" w:cs="Times New Roman"/>
          <w:sz w:val="24"/>
          <w:szCs w:val="24"/>
          <w:lang w:eastAsia="de-DE"/>
        </w:rPr>
      </w:pPr>
    </w:p>
    <w:p w14:paraId="3105ADCB" w14:textId="0DA504A7" w:rsidR="00E91F00" w:rsidRPr="00E91F00" w:rsidRDefault="00E91F00" w:rsidP="00E91F00">
      <w:pPr>
        <w:rPr>
          <w:sz w:val="16"/>
          <w:szCs w:val="16"/>
        </w:rPr>
      </w:pPr>
      <w:r w:rsidRPr="00E91F00">
        <w:rPr>
          <w:rFonts w:ascii="Arial" w:eastAsia="Times New Roman" w:hAnsi="Arial" w:cs="Arial"/>
          <w:color w:val="363636"/>
          <w:sz w:val="24"/>
          <w:szCs w:val="24"/>
          <w:lang w:eastAsia="de-DE"/>
        </w:rPr>
        <w:br/>
      </w:r>
      <w:r w:rsidRPr="00E91F00">
        <w:rPr>
          <w:rFonts w:ascii="Arial" w:eastAsia="Times New Roman" w:hAnsi="Arial" w:cs="Arial"/>
          <w:i/>
          <w:iCs/>
          <w:color w:val="363636"/>
          <w:sz w:val="16"/>
          <w:szCs w:val="16"/>
          <w:shd w:val="clear" w:color="auto" w:fill="FFFFFF"/>
          <w:lang w:eastAsia="de-DE"/>
        </w:rPr>
        <w:t>Duden Wirtschaft von A bis Z: Grundlagenwissen für Schule und Studium, Beruf und Alltag. 6. Aufl. Mannheim: Bibliographisches Institut 2016. Lizenzausgabe Bonn: Bundeszentrale für politische Bildung 2016.</w:t>
      </w:r>
    </w:p>
    <w:p w14:paraId="26447DCE" w14:textId="394A3BA5" w:rsidR="00E91F00" w:rsidRDefault="00E91F00"/>
    <w:p w14:paraId="546DD248" w14:textId="7915CEF1" w:rsidR="00E91F00" w:rsidRDefault="00E91F00"/>
    <w:p w14:paraId="00A3E84C" w14:textId="2B1356FF" w:rsidR="00E91F00" w:rsidRDefault="00E91F00"/>
    <w:p w14:paraId="1FFD2EA2" w14:textId="4EF2D275" w:rsidR="00E91F00" w:rsidRDefault="00E91F00"/>
    <w:p w14:paraId="5480AD47" w14:textId="61A643E9" w:rsidR="00E91F00" w:rsidRDefault="00FA1894">
      <w:r>
        <w:rPr>
          <w:noProof/>
        </w:rPr>
        <w:lastRenderedPageBreak/>
        <w:drawing>
          <wp:inline distT="0" distB="0" distL="0" distR="0" wp14:anchorId="4288200E" wp14:editId="165AB42F">
            <wp:extent cx="5760720" cy="3440967"/>
            <wp:effectExtent l="0" t="0" r="0" b="0"/>
            <wp:docPr id="6" name="Bild 6" descr="Mit Wumms aus der Krise“: Deutsche Regierung beschließt 130 Mrd.  Euro-Konjunkturprogramm » Erste Asset Managemen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 Wumms aus der Krise“: Deutsche Regierung beschließt 130 Mrd.  Euro-Konjunkturprogramm » Erste Asset Management Blo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440967"/>
                    </a:xfrm>
                    <a:prstGeom prst="rect">
                      <a:avLst/>
                    </a:prstGeom>
                    <a:noFill/>
                    <a:ln>
                      <a:noFill/>
                    </a:ln>
                  </pic:spPr>
                </pic:pic>
              </a:graphicData>
            </a:graphic>
          </wp:inline>
        </w:drawing>
      </w:r>
    </w:p>
    <w:p w14:paraId="5E2F91AA" w14:textId="61F40EE8" w:rsidR="00E91F00" w:rsidRDefault="00E91F00"/>
    <w:p w14:paraId="6AECC68D" w14:textId="2F905F91" w:rsidR="00E91F00" w:rsidRDefault="00FA1894">
      <w:r>
        <w:rPr>
          <w:noProof/>
        </w:rPr>
        <w:drawing>
          <wp:inline distT="0" distB="0" distL="0" distR="0" wp14:anchorId="06105825" wp14:editId="712BCC4F">
            <wp:extent cx="5760720" cy="3181041"/>
            <wp:effectExtent l="0" t="0" r="0" b="0"/>
            <wp:docPr id="8" name="Bild 8" descr="Wer vom Corona-Konjunkturpaket profi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 vom Corona-Konjunkturpaket profiti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181041"/>
                    </a:xfrm>
                    <a:prstGeom prst="rect">
                      <a:avLst/>
                    </a:prstGeom>
                    <a:noFill/>
                    <a:ln>
                      <a:noFill/>
                    </a:ln>
                  </pic:spPr>
                </pic:pic>
              </a:graphicData>
            </a:graphic>
          </wp:inline>
        </w:drawing>
      </w:r>
    </w:p>
    <w:p w14:paraId="50AF1172" w14:textId="6B62D88B" w:rsidR="00900CAA" w:rsidRDefault="00900CAA"/>
    <w:p w14:paraId="4A1A438F" w14:textId="5FA78F18" w:rsidR="00900CAA" w:rsidRDefault="00900CAA">
      <w:r>
        <w:t>Deutsche Konjunkturprogramme im historischen Vergleich:</w:t>
      </w:r>
    </w:p>
    <w:p w14:paraId="6B587893" w14:textId="6222C816" w:rsidR="00900CAA" w:rsidRPr="00900CAA" w:rsidRDefault="00900CAA">
      <w:pPr>
        <w:rPr>
          <w:b/>
          <w:bCs/>
        </w:rPr>
      </w:pPr>
      <w:r w:rsidRPr="00900CAA">
        <w:rPr>
          <w:b/>
          <w:bCs/>
        </w:rPr>
        <w:t>https://www.bundestag.de/resource/blob/190470/cdd58467a0b827cc6cd3d366fe96383f/konjunkturprogramme-data.pdf</w:t>
      </w:r>
    </w:p>
    <w:p w14:paraId="460AC7B3" w14:textId="77777777" w:rsidR="00900CAA" w:rsidRDefault="00900CAA"/>
    <w:sectPr w:rsidR="00900CAA" w:rsidSect="00496B79">
      <w:type w:val="continuous"/>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278D9"/>
    <w:multiLevelType w:val="multilevel"/>
    <w:tmpl w:val="C35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B6E8D"/>
    <w:multiLevelType w:val="multilevel"/>
    <w:tmpl w:val="E63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E4051"/>
    <w:multiLevelType w:val="multilevel"/>
    <w:tmpl w:val="6B9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91F00"/>
    <w:rsid w:val="001B6E18"/>
    <w:rsid w:val="003C392E"/>
    <w:rsid w:val="00496B79"/>
    <w:rsid w:val="007E28A9"/>
    <w:rsid w:val="00900CAA"/>
    <w:rsid w:val="00E91F00"/>
    <w:rsid w:val="00FA1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BC29"/>
  <w15:chartTrackingRefBased/>
  <w15:docId w15:val="{F0D39236-1F61-456B-9599-3B53AB4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1F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91F00"/>
    <w:rPr>
      <w:b/>
      <w:bCs/>
    </w:rPr>
  </w:style>
  <w:style w:type="character" w:styleId="Hyperlink">
    <w:name w:val="Hyperlink"/>
    <w:basedOn w:val="Absatz-Standardschriftart"/>
    <w:uiPriority w:val="99"/>
    <w:unhideWhenUsed/>
    <w:rsid w:val="00E91F00"/>
    <w:rPr>
      <w:color w:val="0000FF"/>
      <w:u w:val="single"/>
    </w:rPr>
  </w:style>
  <w:style w:type="character" w:styleId="NichtaufgelsteErwhnung">
    <w:name w:val="Unresolved Mention"/>
    <w:basedOn w:val="Absatz-Standardschriftart"/>
    <w:uiPriority w:val="99"/>
    <w:semiHidden/>
    <w:unhideWhenUsed/>
    <w:rsid w:val="00E9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0064">
      <w:bodyDiv w:val="1"/>
      <w:marLeft w:val="0"/>
      <w:marRight w:val="0"/>
      <w:marTop w:val="0"/>
      <w:marBottom w:val="0"/>
      <w:divBdr>
        <w:top w:val="none" w:sz="0" w:space="0" w:color="auto"/>
        <w:left w:val="none" w:sz="0" w:space="0" w:color="auto"/>
        <w:bottom w:val="none" w:sz="0" w:space="0" w:color="auto"/>
        <w:right w:val="none" w:sz="0" w:space="0" w:color="auto"/>
      </w:divBdr>
    </w:div>
    <w:div w:id="269439239">
      <w:bodyDiv w:val="1"/>
      <w:marLeft w:val="0"/>
      <w:marRight w:val="0"/>
      <w:marTop w:val="0"/>
      <w:marBottom w:val="0"/>
      <w:divBdr>
        <w:top w:val="none" w:sz="0" w:space="0" w:color="auto"/>
        <w:left w:val="none" w:sz="0" w:space="0" w:color="auto"/>
        <w:bottom w:val="none" w:sz="0" w:space="0" w:color="auto"/>
        <w:right w:val="none" w:sz="0" w:space="0" w:color="auto"/>
      </w:divBdr>
    </w:div>
    <w:div w:id="553350299">
      <w:bodyDiv w:val="1"/>
      <w:marLeft w:val="0"/>
      <w:marRight w:val="0"/>
      <w:marTop w:val="0"/>
      <w:marBottom w:val="0"/>
      <w:divBdr>
        <w:top w:val="none" w:sz="0" w:space="0" w:color="auto"/>
        <w:left w:val="none" w:sz="0" w:space="0" w:color="auto"/>
        <w:bottom w:val="none" w:sz="0" w:space="0" w:color="auto"/>
        <w:right w:val="none" w:sz="0" w:space="0" w:color="auto"/>
      </w:divBdr>
    </w:div>
    <w:div w:id="1475485328">
      <w:bodyDiv w:val="1"/>
      <w:marLeft w:val="0"/>
      <w:marRight w:val="0"/>
      <w:marTop w:val="0"/>
      <w:marBottom w:val="0"/>
      <w:divBdr>
        <w:top w:val="none" w:sz="0" w:space="0" w:color="auto"/>
        <w:left w:val="none" w:sz="0" w:space="0" w:color="auto"/>
        <w:bottom w:val="none" w:sz="0" w:space="0" w:color="auto"/>
        <w:right w:val="none" w:sz="0" w:space="0" w:color="auto"/>
      </w:divBdr>
    </w:div>
    <w:div w:id="1739328555">
      <w:bodyDiv w:val="1"/>
      <w:marLeft w:val="0"/>
      <w:marRight w:val="0"/>
      <w:marTop w:val="0"/>
      <w:marBottom w:val="0"/>
      <w:divBdr>
        <w:top w:val="none" w:sz="0" w:space="0" w:color="auto"/>
        <w:left w:val="none" w:sz="0" w:space="0" w:color="auto"/>
        <w:bottom w:val="none" w:sz="0" w:space="0" w:color="auto"/>
        <w:right w:val="none" w:sz="0" w:space="0" w:color="auto"/>
      </w:divBdr>
    </w:div>
    <w:div w:id="19141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nungswesen-verstehen.de/lexikon/fiskalpolitik.php" TargetMode="External"/><Relationship Id="rId13" Type="http://schemas.openxmlformats.org/officeDocument/2006/relationships/hyperlink" Target="https://www.bpb.de/nachschlagen/lexika/lexikon-der-wirtschaft/19366/finanzmarktkrise"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pb.de/nachschlagen/lexika/lexikon-der-wirtschaft/19534/globalsteuerung" TargetMode="Externa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bpb.de/nachschlagen/lexika/lexikon-der-wirtschaft/20902/umweltpraem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pb.de/nachschlagen/lexika/lexikon-der-wirtschaft/18641/antizyklische-wirtschaftspolitik" TargetMode="External"/><Relationship Id="rId11" Type="http://schemas.openxmlformats.org/officeDocument/2006/relationships/hyperlink" Target="http://www.rechnungswesen-verstehen.de" TargetMode="External"/><Relationship Id="rId5" Type="http://schemas.openxmlformats.org/officeDocument/2006/relationships/hyperlink" Target="https://www.bpb.de/nachschlagen/lexika/lexikon-der-wirtschaft/19112/defizitfinanzierung" TargetMode="External"/><Relationship Id="rId15" Type="http://schemas.openxmlformats.org/officeDocument/2006/relationships/hyperlink" Target="https://www.bpb.de/nachschlagen/lexika/lexikon-der-wirtschaft/19903/kraftfahrzeugsteuer" TargetMode="External"/><Relationship Id="rId10" Type="http://schemas.openxmlformats.org/officeDocument/2006/relationships/hyperlink" Target="https://www.rechnungswesen-verstehen.de/lexikon/volkseinkommen.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hnungswesen-verstehen.de/bwl-vwl/vwl/Inflation.php" TargetMode="External"/><Relationship Id="rId14" Type="http://schemas.openxmlformats.org/officeDocument/2006/relationships/hyperlink" Target="https://www.bpb.de/nachschlagen/lexika/lexikon-der-wirtschaft/19163/einkommensteuertar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Frölich</dc:creator>
  <cp:keywords/>
  <dc:description/>
  <cp:lastModifiedBy>Rüdiger Frölich</cp:lastModifiedBy>
  <cp:revision>2</cp:revision>
  <cp:lastPrinted>2021-03-10T23:34:00Z</cp:lastPrinted>
  <dcterms:created xsi:type="dcterms:W3CDTF">2021-03-10T23:10:00Z</dcterms:created>
  <dcterms:modified xsi:type="dcterms:W3CDTF">2021-03-10T23:35:00Z</dcterms:modified>
</cp:coreProperties>
</file>